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1DA" w14:textId="4E599BEF" w:rsidR="00CE41FA" w:rsidRPr="009323D4" w:rsidRDefault="00154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 xml:space="preserve">RETE DEGLI OSSERVATORI REGIONALI CONTRATTI PUBBLICI </w:t>
      </w:r>
    </w:p>
    <w:p w14:paraId="466379D2"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eastAsia="Times New Roman" w:hAnsi="Times New Roman" w:cs="Times New Roman"/>
          <w:b/>
          <w:sz w:val="24"/>
          <w:szCs w:val="24"/>
        </w:rPr>
      </w:pPr>
    </w:p>
    <w:p w14:paraId="7145506B"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Oggetto: Obblighi informativi a fini di monitoraggio ed obblighi di pubblicità: cosa cambia dal primo luglio 2023 con l’entrata in vigore del nuovo Codice (</w:t>
      </w:r>
      <w:proofErr w:type="gramStart"/>
      <w:r w:rsidRPr="009323D4">
        <w:rPr>
          <w:rFonts w:ascii="Times New Roman" w:eastAsia="Times New Roman" w:hAnsi="Times New Roman" w:cs="Times New Roman"/>
          <w:b/>
          <w:sz w:val="24"/>
          <w:szCs w:val="24"/>
        </w:rPr>
        <w:t>D.Lgs</w:t>
      </w:r>
      <w:proofErr w:type="gramEnd"/>
      <w:r w:rsidRPr="009323D4">
        <w:rPr>
          <w:rFonts w:ascii="Times New Roman" w:eastAsia="Times New Roman" w:hAnsi="Times New Roman" w:cs="Times New Roman"/>
          <w:b/>
          <w:sz w:val="24"/>
          <w:szCs w:val="24"/>
        </w:rPr>
        <w:t xml:space="preserve">.36/2023) </w:t>
      </w:r>
    </w:p>
    <w:p w14:paraId="0B2AFEA1"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 xml:space="preserve">  </w:t>
      </w:r>
    </w:p>
    <w:p w14:paraId="0B770D61" w14:textId="77777777" w:rsidR="00CE41FA" w:rsidRPr="009323D4" w:rsidRDefault="009323D4">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I</w:t>
      </w:r>
      <w:r w:rsidR="00096ECF" w:rsidRPr="009323D4">
        <w:rPr>
          <w:rFonts w:ascii="Times New Roman" w:eastAsia="Times New Roman" w:hAnsi="Times New Roman" w:cs="Times New Roman"/>
          <w:sz w:val="24"/>
          <w:szCs w:val="24"/>
        </w:rPr>
        <w:t>n merito a quanto in oggetto si ritiene utile richiamare quanto segue per punti.</w:t>
      </w:r>
    </w:p>
    <w:p w14:paraId="71490020"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jc w:val="both"/>
        <w:rPr>
          <w:rFonts w:ascii="Times New Roman" w:eastAsia="Times New Roman" w:hAnsi="Times New Roman" w:cs="Times New Roman"/>
          <w:sz w:val="24"/>
          <w:szCs w:val="24"/>
        </w:rPr>
      </w:pPr>
    </w:p>
    <w:p w14:paraId="1896CD2E" w14:textId="77777777" w:rsidR="00CE41FA" w:rsidRPr="009323D4" w:rsidRDefault="00096EC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Programmazione dei lavori e programmazione degli acquisti di forniture e servizi</w:t>
      </w:r>
    </w:p>
    <w:p w14:paraId="6C4A136F"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70D86C3A" w14:textId="77777777" w:rsidR="00DA44EC" w:rsidRPr="009323D4" w:rsidRDefault="00680C7B">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A seguito del</w:t>
      </w:r>
      <w:r w:rsidR="00570464" w:rsidRPr="009323D4">
        <w:rPr>
          <w:rFonts w:ascii="Times New Roman" w:eastAsia="Times New Roman" w:hAnsi="Times New Roman" w:cs="Times New Roman"/>
          <w:sz w:val="24"/>
          <w:szCs w:val="24"/>
        </w:rPr>
        <w:t xml:space="preserve"> Comunicato </w:t>
      </w:r>
      <w:r w:rsidRPr="009323D4">
        <w:rPr>
          <w:rFonts w:ascii="Times New Roman" w:eastAsia="Times New Roman" w:hAnsi="Times New Roman" w:cs="Times New Roman"/>
          <w:sz w:val="24"/>
          <w:szCs w:val="24"/>
        </w:rPr>
        <w:t xml:space="preserve">del Ministero delle Infrastrutture </w:t>
      </w:r>
      <w:r w:rsidR="00570464" w:rsidRPr="009323D4">
        <w:rPr>
          <w:rFonts w:ascii="Times New Roman" w:eastAsia="Times New Roman" w:hAnsi="Times New Roman" w:cs="Times New Roman"/>
          <w:sz w:val="24"/>
          <w:szCs w:val="24"/>
        </w:rPr>
        <w:t xml:space="preserve">n°6213 </w:t>
      </w:r>
      <w:r w:rsidR="002F053B" w:rsidRPr="009323D4">
        <w:rPr>
          <w:rFonts w:ascii="Times New Roman" w:eastAsia="Times New Roman" w:hAnsi="Times New Roman" w:cs="Times New Roman"/>
          <w:sz w:val="24"/>
          <w:szCs w:val="24"/>
        </w:rPr>
        <w:t>del 30 giugno 2023</w:t>
      </w:r>
      <w:r w:rsidRPr="009323D4">
        <w:rPr>
          <w:rFonts w:ascii="Times New Roman" w:eastAsia="Times New Roman" w:hAnsi="Times New Roman" w:cs="Times New Roman"/>
          <w:sz w:val="24"/>
          <w:szCs w:val="24"/>
        </w:rPr>
        <w:t>, il sistema Servizio Contratti Pubblici e con esso,</w:t>
      </w:r>
      <w:r w:rsidR="009323D4" w:rsidRPr="009323D4">
        <w:rPr>
          <w:rFonts w:ascii="Times New Roman" w:eastAsia="Times New Roman" w:hAnsi="Times New Roman" w:cs="Times New Roman"/>
          <w:sz w:val="24"/>
          <w:szCs w:val="24"/>
        </w:rPr>
        <w:t xml:space="preserve"> per necessario allineamento, gli applicativi dei sistemi informativi degli Osservatori regionali laddove attivi</w:t>
      </w:r>
      <w:r w:rsidRPr="009323D4">
        <w:rPr>
          <w:rFonts w:ascii="Times New Roman" w:eastAsia="Times New Roman" w:hAnsi="Times New Roman" w:cs="Times New Roman"/>
          <w:sz w:val="24"/>
          <w:szCs w:val="24"/>
        </w:rPr>
        <w:t xml:space="preserve">, </w:t>
      </w:r>
      <w:r w:rsidR="00DA44EC" w:rsidRPr="009323D4">
        <w:rPr>
          <w:rFonts w:ascii="Times New Roman" w:eastAsia="Times New Roman" w:hAnsi="Times New Roman" w:cs="Times New Roman"/>
          <w:sz w:val="24"/>
          <w:szCs w:val="24"/>
        </w:rPr>
        <w:t>sarà adeguato</w:t>
      </w:r>
      <w:r w:rsidRPr="009323D4">
        <w:rPr>
          <w:rFonts w:ascii="Times New Roman" w:eastAsia="Times New Roman" w:hAnsi="Times New Roman" w:cs="Times New Roman"/>
          <w:sz w:val="24"/>
          <w:szCs w:val="24"/>
        </w:rPr>
        <w:t xml:space="preserve"> alle disposizioni di cui </w:t>
      </w:r>
      <w:r w:rsidR="00096ECF" w:rsidRPr="009323D4">
        <w:rPr>
          <w:rFonts w:ascii="Times New Roman" w:eastAsia="Times New Roman" w:hAnsi="Times New Roman" w:cs="Times New Roman"/>
          <w:sz w:val="24"/>
          <w:szCs w:val="24"/>
        </w:rPr>
        <w:t xml:space="preserve">art.37 e all.I.5 al </w:t>
      </w:r>
      <w:proofErr w:type="gramStart"/>
      <w:r w:rsidR="00096ECF" w:rsidRPr="009323D4">
        <w:rPr>
          <w:rFonts w:ascii="Times New Roman" w:eastAsia="Times New Roman" w:hAnsi="Times New Roman" w:cs="Times New Roman"/>
          <w:sz w:val="24"/>
          <w:szCs w:val="24"/>
        </w:rPr>
        <w:t>D.Lgs</w:t>
      </w:r>
      <w:proofErr w:type="gramEnd"/>
      <w:r w:rsidR="00096ECF" w:rsidRPr="009323D4">
        <w:rPr>
          <w:rFonts w:ascii="Times New Roman" w:eastAsia="Times New Roman" w:hAnsi="Times New Roman" w:cs="Times New Roman"/>
          <w:sz w:val="24"/>
          <w:szCs w:val="24"/>
        </w:rPr>
        <w:t>.36/2023</w:t>
      </w:r>
      <w:r w:rsidRPr="009323D4">
        <w:rPr>
          <w:rFonts w:ascii="Times New Roman" w:eastAsia="Times New Roman" w:hAnsi="Times New Roman" w:cs="Times New Roman"/>
          <w:sz w:val="24"/>
          <w:szCs w:val="24"/>
        </w:rPr>
        <w:t xml:space="preserve"> per la sola programmazione di lavori e di acquisti di beni e servizi relativa al triennio 2024-2026. Il programma dei lavori 2023-2025 e</w:t>
      </w:r>
      <w:r w:rsidR="00570464" w:rsidRPr="009323D4">
        <w:rPr>
          <w:rFonts w:ascii="Times New Roman" w:eastAsia="Times New Roman" w:hAnsi="Times New Roman" w:cs="Times New Roman"/>
          <w:sz w:val="24"/>
          <w:szCs w:val="24"/>
        </w:rPr>
        <w:t xml:space="preserve">d il programma </w:t>
      </w:r>
      <w:r w:rsidRPr="009323D4">
        <w:rPr>
          <w:rFonts w:ascii="Times New Roman" w:eastAsia="Times New Roman" w:hAnsi="Times New Roman" w:cs="Times New Roman"/>
          <w:sz w:val="24"/>
          <w:szCs w:val="24"/>
        </w:rPr>
        <w:t xml:space="preserve">degli acquisti 2023-2024, </w:t>
      </w:r>
      <w:r w:rsidR="00570464" w:rsidRPr="009323D4">
        <w:rPr>
          <w:rFonts w:ascii="Times New Roman" w:eastAsia="Times New Roman" w:hAnsi="Times New Roman" w:cs="Times New Roman"/>
          <w:sz w:val="24"/>
          <w:szCs w:val="24"/>
        </w:rPr>
        <w:t xml:space="preserve">anche </w:t>
      </w:r>
      <w:r w:rsidRPr="009323D4">
        <w:rPr>
          <w:rFonts w:ascii="Times New Roman" w:eastAsia="Times New Roman" w:hAnsi="Times New Roman" w:cs="Times New Roman"/>
          <w:sz w:val="24"/>
          <w:szCs w:val="24"/>
        </w:rPr>
        <w:t xml:space="preserve">qualora non ancora approvati alla data del primo luglio di entrata in vigore del </w:t>
      </w:r>
      <w:proofErr w:type="gramStart"/>
      <w:r w:rsidRPr="009323D4">
        <w:rPr>
          <w:rFonts w:ascii="Times New Roman" w:eastAsia="Times New Roman" w:hAnsi="Times New Roman" w:cs="Times New Roman"/>
          <w:sz w:val="24"/>
          <w:szCs w:val="24"/>
        </w:rPr>
        <w:t>D.Lgs</w:t>
      </w:r>
      <w:proofErr w:type="gramEnd"/>
      <w:r w:rsidRPr="009323D4">
        <w:rPr>
          <w:rFonts w:ascii="Times New Roman" w:eastAsia="Times New Roman" w:hAnsi="Times New Roman" w:cs="Times New Roman"/>
          <w:sz w:val="24"/>
          <w:szCs w:val="24"/>
        </w:rPr>
        <w:t xml:space="preserve">.36/2023, nonché i relativi eventuali aggiornamenti in corso d’anno, </w:t>
      </w:r>
      <w:r w:rsidR="00DA44EC" w:rsidRPr="009323D4">
        <w:rPr>
          <w:rFonts w:ascii="Times New Roman" w:eastAsia="Times New Roman" w:hAnsi="Times New Roman" w:cs="Times New Roman"/>
          <w:sz w:val="24"/>
          <w:szCs w:val="24"/>
        </w:rPr>
        <w:t xml:space="preserve">dovranno continuare </w:t>
      </w:r>
      <w:r w:rsidRPr="009323D4">
        <w:rPr>
          <w:rFonts w:ascii="Times New Roman" w:eastAsia="Times New Roman" w:hAnsi="Times New Roman" w:cs="Times New Roman"/>
          <w:sz w:val="24"/>
          <w:szCs w:val="24"/>
        </w:rPr>
        <w:t xml:space="preserve">ad essere redatti e pubblicati secondo le </w:t>
      </w:r>
      <w:r w:rsidR="00B438EB" w:rsidRPr="009323D4">
        <w:rPr>
          <w:rFonts w:ascii="Times New Roman" w:eastAsia="Times New Roman" w:hAnsi="Times New Roman" w:cs="Times New Roman"/>
          <w:sz w:val="24"/>
          <w:szCs w:val="24"/>
        </w:rPr>
        <w:t>regole di cui all’art</w:t>
      </w:r>
      <w:r w:rsidR="00DA44EC" w:rsidRPr="009323D4">
        <w:rPr>
          <w:rFonts w:ascii="Times New Roman" w:eastAsia="Times New Roman" w:hAnsi="Times New Roman" w:cs="Times New Roman"/>
          <w:sz w:val="24"/>
          <w:szCs w:val="24"/>
        </w:rPr>
        <w:t>.21 del precedente Codice D.Lgs.50/2016</w:t>
      </w:r>
      <w:r w:rsidR="00096ECF" w:rsidRPr="009323D4">
        <w:rPr>
          <w:rFonts w:ascii="Times New Roman" w:eastAsia="Times New Roman" w:hAnsi="Times New Roman" w:cs="Times New Roman"/>
          <w:sz w:val="24"/>
          <w:szCs w:val="24"/>
        </w:rPr>
        <w:t>.</w:t>
      </w:r>
    </w:p>
    <w:p w14:paraId="39BCE448" w14:textId="77777777" w:rsidR="00DA44EC" w:rsidRPr="009323D4" w:rsidRDefault="00DA44E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1E8E77B3" w14:textId="77777777" w:rsidR="00570464" w:rsidRPr="009323D4" w:rsidRDefault="00DA44E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 w:rsidRPr="009323D4">
        <w:rPr>
          <w:rFonts w:ascii="Times New Roman" w:eastAsia="Times New Roman" w:hAnsi="Times New Roman" w:cs="Times New Roman"/>
          <w:sz w:val="24"/>
          <w:szCs w:val="24"/>
        </w:rPr>
        <w:t>Link:</w:t>
      </w:r>
      <w:r w:rsidRPr="009323D4">
        <w:t xml:space="preserve"> </w:t>
      </w:r>
    </w:p>
    <w:p w14:paraId="5A92C3D3" w14:textId="77777777" w:rsidR="00570464" w:rsidRPr="009323D4" w:rsidRDefault="00570464">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sz w:val="24"/>
          <w:szCs w:val="24"/>
        </w:rPr>
      </w:pPr>
      <w:r w:rsidRPr="009323D4">
        <w:rPr>
          <w:rFonts w:ascii="Times New Roman" w:hAnsi="Times New Roman" w:cs="Times New Roman"/>
          <w:sz w:val="24"/>
          <w:szCs w:val="24"/>
        </w:rPr>
        <w:t>https://www.serviziocontrattipubblici.it/SPInApp/it/press.page</w:t>
      </w:r>
    </w:p>
    <w:p w14:paraId="4B6F5F87" w14:textId="77777777" w:rsidR="00CE41FA" w:rsidRPr="009323D4" w:rsidRDefault="00DA44E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https://www.serviziocontrattipubblici.it/SPInApp/</w:t>
      </w:r>
      <w:r w:rsidR="006A7F7B" w:rsidRPr="009323D4">
        <w:rPr>
          <w:rFonts w:ascii="Times New Roman" w:eastAsia="Times New Roman" w:hAnsi="Times New Roman" w:cs="Times New Roman"/>
          <w:sz w:val="24"/>
          <w:szCs w:val="24"/>
        </w:rPr>
        <w:t xml:space="preserve">  </w:t>
      </w:r>
    </w:p>
    <w:p w14:paraId="0AB08AC6"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jc w:val="both"/>
        <w:rPr>
          <w:rFonts w:ascii="Times New Roman" w:eastAsia="Times New Roman" w:hAnsi="Times New Roman" w:cs="Times New Roman"/>
          <w:sz w:val="24"/>
          <w:szCs w:val="24"/>
        </w:rPr>
      </w:pPr>
    </w:p>
    <w:p w14:paraId="31C88168"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jc w:val="both"/>
        <w:rPr>
          <w:rFonts w:ascii="Times New Roman" w:eastAsia="Times New Roman" w:hAnsi="Times New Roman" w:cs="Times New Roman"/>
          <w:sz w:val="24"/>
          <w:szCs w:val="24"/>
        </w:rPr>
      </w:pPr>
    </w:p>
    <w:p w14:paraId="74194473" w14:textId="77777777" w:rsidR="00CE41FA" w:rsidRPr="009323D4" w:rsidRDefault="00096EC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Richiesta CIG</w:t>
      </w:r>
    </w:p>
    <w:p w14:paraId="0863EF89"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7CE902B4"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La qualificazione delle stazioni appaltanti diventerà obbligatoria dal 1° luglio 2023 in base al nuovo Codice degli Appalti, con il blocco del rilascio del CIG  per le stazioni appaltanti non qualificate che intendano effettuare affidamenti di contratti di lavoro di importo superiore a 500mila euro e di servizi e forniture d’importo superiore alle soglie previste per gli affidamenti diretti, mentre non </w:t>
      </w:r>
      <w:r w:rsidR="00FE5CE6" w:rsidRPr="009323D4">
        <w:rPr>
          <w:rFonts w:ascii="Times New Roman" w:eastAsia="Times New Roman" w:hAnsi="Times New Roman" w:cs="Times New Roman"/>
          <w:sz w:val="24"/>
          <w:szCs w:val="24"/>
        </w:rPr>
        <w:t>sarà</w:t>
      </w:r>
      <w:r w:rsidRPr="009323D4">
        <w:rPr>
          <w:rFonts w:ascii="Times New Roman" w:eastAsia="Times New Roman" w:hAnsi="Times New Roman" w:cs="Times New Roman"/>
          <w:sz w:val="24"/>
          <w:szCs w:val="24"/>
        </w:rPr>
        <w:t xml:space="preserve"> necessaria la qualificazione per effettuare ordini sugli acquisti messi a disposizione delle centrali di committenza e dei soggetti aggregatori.</w:t>
      </w:r>
    </w:p>
    <w:p w14:paraId="1219AC7A" w14:textId="77777777" w:rsidR="00CE41FA" w:rsidRPr="009323D4" w:rsidRDefault="00FE5CE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Per ogni altra indicazione si rimanda ai seguenti l</w:t>
      </w:r>
      <w:r w:rsidR="00096ECF" w:rsidRPr="009323D4">
        <w:rPr>
          <w:rFonts w:ascii="Times New Roman" w:eastAsia="Times New Roman" w:hAnsi="Times New Roman" w:cs="Times New Roman"/>
          <w:sz w:val="24"/>
          <w:szCs w:val="24"/>
        </w:rPr>
        <w:t>ink:</w:t>
      </w:r>
    </w:p>
    <w:p w14:paraId="7DFA8C2C"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https://www.anticorruzione.it/-/qualificazione-stazioni-appaltanti-dal-1%C2%B0-luglio-scatta-l-obbligo</w:t>
      </w:r>
    </w:p>
    <w:p w14:paraId="0FE07B9C"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https://www.anticorruzione.it/-/qualificazione-delle-stazioni-appaltanti</w:t>
      </w:r>
    </w:p>
    <w:p w14:paraId="31F2BA75"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47E7E97A"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Restano inalterate le altre disposizioni in </w:t>
      </w:r>
      <w:proofErr w:type="gramStart"/>
      <w:r w:rsidRPr="009323D4">
        <w:rPr>
          <w:rFonts w:ascii="Times New Roman" w:eastAsia="Times New Roman" w:hAnsi="Times New Roman" w:cs="Times New Roman"/>
          <w:sz w:val="24"/>
          <w:szCs w:val="24"/>
        </w:rPr>
        <w:t>materia</w:t>
      </w:r>
      <w:proofErr w:type="gramEnd"/>
      <w:r w:rsidRPr="009323D4">
        <w:rPr>
          <w:rFonts w:ascii="Times New Roman" w:eastAsia="Times New Roman" w:hAnsi="Times New Roman" w:cs="Times New Roman"/>
          <w:sz w:val="24"/>
          <w:szCs w:val="24"/>
        </w:rPr>
        <w:t xml:space="preserve"> fra le quali si ricorda l’obbligatorietà del CIG (in luogo dello </w:t>
      </w:r>
      <w:proofErr w:type="spellStart"/>
      <w:r w:rsidRPr="009323D4">
        <w:rPr>
          <w:rFonts w:ascii="Times New Roman" w:eastAsia="Times New Roman" w:hAnsi="Times New Roman" w:cs="Times New Roman"/>
          <w:sz w:val="24"/>
          <w:szCs w:val="24"/>
        </w:rPr>
        <w:t>SmartCig</w:t>
      </w:r>
      <w:proofErr w:type="spellEnd"/>
      <w:r w:rsidRPr="009323D4">
        <w:rPr>
          <w:rFonts w:ascii="Times New Roman" w:eastAsia="Times New Roman" w:hAnsi="Times New Roman" w:cs="Times New Roman"/>
          <w:sz w:val="24"/>
          <w:szCs w:val="24"/>
        </w:rPr>
        <w:t xml:space="preserve">) </w:t>
      </w:r>
      <w:r w:rsidR="00601EC2" w:rsidRPr="009323D4">
        <w:rPr>
          <w:rFonts w:ascii="Times New Roman" w:eastAsia="Times New Roman" w:hAnsi="Times New Roman" w:cs="Times New Roman"/>
          <w:sz w:val="24"/>
          <w:szCs w:val="24"/>
        </w:rPr>
        <w:t xml:space="preserve">e conseguentemente del monitoraggio (trasmissione aggiudicazione e successive) </w:t>
      </w:r>
      <w:r w:rsidRPr="009323D4">
        <w:rPr>
          <w:rFonts w:ascii="Times New Roman" w:eastAsia="Times New Roman" w:hAnsi="Times New Roman" w:cs="Times New Roman"/>
          <w:sz w:val="24"/>
          <w:szCs w:val="24"/>
        </w:rPr>
        <w:t>per tutte le procedure di importo inferiore a 40mila € collegate a progetti ammessi a finanziamento PNRR.</w:t>
      </w:r>
    </w:p>
    <w:p w14:paraId="26F4D865"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Li</w:t>
      </w:r>
      <w:r w:rsidR="00804779" w:rsidRPr="009323D4">
        <w:rPr>
          <w:rFonts w:ascii="Times New Roman" w:eastAsia="Times New Roman" w:hAnsi="Times New Roman" w:cs="Times New Roman"/>
          <w:sz w:val="24"/>
          <w:szCs w:val="24"/>
        </w:rPr>
        <w:t>nk</w:t>
      </w:r>
      <w:r w:rsidRPr="009323D4">
        <w:rPr>
          <w:rFonts w:ascii="Times New Roman" w:eastAsia="Times New Roman" w:hAnsi="Times New Roman" w:cs="Times New Roman"/>
          <w:sz w:val="24"/>
          <w:szCs w:val="24"/>
        </w:rPr>
        <w:t>:</w:t>
      </w:r>
    </w:p>
    <w:p w14:paraId="1A1E63D3" w14:textId="77777777" w:rsidR="00CE41FA" w:rsidRPr="009323D4" w:rsidRDefault="00096ECF" w:rsidP="00804779">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https://www.anticorruzione.it/-/tracciabilit%C3%A0-dei-flussi-finanziari#:~:text=S%C3%AC%2C%20%C3%A8%20obbligatorio%20richiedere%20il,contributo%20in%20favore%20dell'Autorit%C3%A0.</w:t>
      </w:r>
    </w:p>
    <w:p w14:paraId="1AE853EC"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5DE83609" w14:textId="77777777" w:rsidR="00804779" w:rsidRPr="009323D4" w:rsidRDefault="0080477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306DE50A" w14:textId="77777777" w:rsidR="00CE41FA" w:rsidRPr="009323D4" w:rsidRDefault="00096EC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Pubblicità atti, bandi, avvisi ed esiti</w:t>
      </w:r>
    </w:p>
    <w:p w14:paraId="02F88E72"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147D6EC7"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Ai sensi delle </w:t>
      </w:r>
      <w:r w:rsidR="00FE5CE6" w:rsidRPr="009323D4">
        <w:rPr>
          <w:rFonts w:ascii="Times New Roman" w:eastAsia="Times New Roman" w:hAnsi="Times New Roman" w:cs="Times New Roman"/>
          <w:sz w:val="24"/>
          <w:szCs w:val="24"/>
        </w:rPr>
        <w:t xml:space="preserve">disposizioni </w:t>
      </w:r>
      <w:r w:rsidRPr="009323D4">
        <w:rPr>
          <w:rFonts w:ascii="Times New Roman" w:eastAsia="Times New Roman" w:hAnsi="Times New Roman" w:cs="Times New Roman"/>
          <w:sz w:val="24"/>
          <w:szCs w:val="24"/>
        </w:rPr>
        <w:t xml:space="preserve">transitorie di cui all’art.225 comma 1 penultimo periodo del </w:t>
      </w:r>
      <w:proofErr w:type="gramStart"/>
      <w:r w:rsidRPr="009323D4">
        <w:rPr>
          <w:rFonts w:ascii="Times New Roman" w:eastAsia="Times New Roman" w:hAnsi="Times New Roman" w:cs="Times New Roman"/>
          <w:sz w:val="24"/>
          <w:szCs w:val="24"/>
        </w:rPr>
        <w:t>D.Lgs</w:t>
      </w:r>
      <w:proofErr w:type="gramEnd"/>
      <w:r w:rsidRPr="009323D4">
        <w:rPr>
          <w:rFonts w:ascii="Times New Roman" w:eastAsia="Times New Roman" w:hAnsi="Times New Roman" w:cs="Times New Roman"/>
          <w:sz w:val="24"/>
          <w:szCs w:val="24"/>
        </w:rPr>
        <w:t xml:space="preserve">.36/2023, “fino al 31 dicembre 2023 continuano le pubblicazioni sulla piattaforma del </w:t>
      </w:r>
      <w:r w:rsidRPr="009323D4">
        <w:rPr>
          <w:rFonts w:ascii="Times New Roman" w:eastAsia="Times New Roman" w:hAnsi="Times New Roman" w:cs="Times New Roman"/>
          <w:sz w:val="24"/>
          <w:szCs w:val="24"/>
        </w:rPr>
        <w:lastRenderedPageBreak/>
        <w:t>Servizio contratti pubblici del Ministero delle infrastrutture e dei trasporti” e pertanto quelle di cui all’art.29 comma 1 e 2 del precedente D.Lgs.50/2016, che le stazioni appaltanti dell</w:t>
      </w:r>
      <w:r w:rsidR="009323D4" w:rsidRPr="009323D4">
        <w:rPr>
          <w:rFonts w:ascii="Times New Roman" w:eastAsia="Times New Roman" w:hAnsi="Times New Roman" w:cs="Times New Roman"/>
          <w:sz w:val="24"/>
          <w:szCs w:val="24"/>
        </w:rPr>
        <w:t xml:space="preserve">e regioni con sistema informativo proprio </w:t>
      </w:r>
      <w:r w:rsidRPr="009323D4">
        <w:rPr>
          <w:rFonts w:ascii="Times New Roman" w:eastAsia="Times New Roman" w:hAnsi="Times New Roman" w:cs="Times New Roman"/>
          <w:sz w:val="24"/>
          <w:szCs w:val="24"/>
        </w:rPr>
        <w:t xml:space="preserve">sono tenute ad effettuare tramite </w:t>
      </w:r>
      <w:r w:rsidR="009323D4" w:rsidRPr="009323D4">
        <w:rPr>
          <w:rFonts w:ascii="Times New Roman" w:eastAsia="Times New Roman" w:hAnsi="Times New Roman" w:cs="Times New Roman"/>
          <w:sz w:val="24"/>
          <w:szCs w:val="24"/>
        </w:rPr>
        <w:t>detto sistema</w:t>
      </w:r>
      <w:r w:rsidRPr="009323D4">
        <w:rPr>
          <w:rFonts w:ascii="Times New Roman" w:eastAsia="Times New Roman" w:hAnsi="Times New Roman" w:cs="Times New Roman"/>
          <w:sz w:val="24"/>
          <w:szCs w:val="24"/>
        </w:rPr>
        <w:t>.</w:t>
      </w:r>
    </w:p>
    <w:p w14:paraId="2B0F8716" w14:textId="77777777" w:rsidR="00DA44EC"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Si precisa altresì che resta invariato l’elenco </w:t>
      </w:r>
      <w:proofErr w:type="gramStart"/>
      <w:r w:rsidRPr="009323D4">
        <w:rPr>
          <w:rFonts w:ascii="Times New Roman" w:eastAsia="Times New Roman" w:hAnsi="Times New Roman" w:cs="Times New Roman"/>
          <w:sz w:val="24"/>
          <w:szCs w:val="24"/>
        </w:rPr>
        <w:t>dei</w:t>
      </w:r>
      <w:proofErr w:type="gramEnd"/>
      <w:r w:rsidRPr="009323D4">
        <w:rPr>
          <w:rFonts w:ascii="Times New Roman" w:eastAsia="Times New Roman" w:hAnsi="Times New Roman" w:cs="Times New Roman"/>
          <w:sz w:val="24"/>
          <w:szCs w:val="24"/>
        </w:rPr>
        <w:t xml:space="preserve"> atti (bandi, esiti ed altri avvisi) </w:t>
      </w:r>
      <w:r w:rsidR="00DA44EC" w:rsidRPr="009323D4">
        <w:rPr>
          <w:rFonts w:ascii="Times New Roman" w:eastAsia="Times New Roman" w:hAnsi="Times New Roman" w:cs="Times New Roman"/>
          <w:sz w:val="24"/>
          <w:szCs w:val="24"/>
        </w:rPr>
        <w:t xml:space="preserve">oggetto di pubblicazione anche in considerazione dell’efficacia a decorrere dal primo gennaio 2024 dei provvedimenti ANAC di cui alle delibere 261 (Banca Dati Nazionale dei Contratti Pubblici), </w:t>
      </w:r>
      <w:r w:rsidR="00872106" w:rsidRPr="009323D4">
        <w:rPr>
          <w:rFonts w:ascii="Times New Roman" w:eastAsia="Times New Roman" w:hAnsi="Times New Roman" w:cs="Times New Roman"/>
          <w:sz w:val="24"/>
          <w:szCs w:val="24"/>
        </w:rPr>
        <w:t>263 (Obblighi di pubblicazione) e 264 (Obblighi trasparenza) del 20 giugno 2023.</w:t>
      </w:r>
    </w:p>
    <w:p w14:paraId="0DBE29B7" w14:textId="77777777" w:rsidR="00872106" w:rsidRPr="009323D4" w:rsidRDefault="00872106" w:rsidP="0087210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Link:</w:t>
      </w:r>
    </w:p>
    <w:p w14:paraId="53531956" w14:textId="77777777" w:rsidR="00872106" w:rsidRPr="009323D4" w:rsidRDefault="00000000" w:rsidP="00804779">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hyperlink r:id="rId5" w:history="1">
        <w:r w:rsidR="00872106" w:rsidRPr="009323D4">
          <w:rPr>
            <w:rStyle w:val="Collegamentoipertestuale"/>
            <w:rFonts w:ascii="Times New Roman" w:eastAsia="Times New Roman" w:hAnsi="Times New Roman" w:cs="Times New Roman"/>
            <w:sz w:val="24"/>
            <w:szCs w:val="24"/>
          </w:rPr>
          <w:t>https://www.serviziocontrattipubblici.it/SPInApp/</w:t>
        </w:r>
      </w:hyperlink>
    </w:p>
    <w:p w14:paraId="35FFD980" w14:textId="77777777" w:rsidR="00872106" w:rsidRPr="009323D4" w:rsidRDefault="00000000" w:rsidP="00804779">
      <w:pPr>
        <w:pStyle w:val="Paragrafoelenco"/>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hyperlink r:id="rId6" w:history="1">
        <w:r w:rsidR="00872106" w:rsidRPr="009323D4">
          <w:rPr>
            <w:rStyle w:val="Collegamentoipertestuale"/>
            <w:rFonts w:ascii="Times New Roman" w:eastAsia="Times New Roman" w:hAnsi="Times New Roman" w:cs="Times New Roman"/>
            <w:sz w:val="24"/>
            <w:szCs w:val="24"/>
          </w:rPr>
          <w:t>https://www.anticorruzione.it/consulta-i-documenti?q=&amp;type=119160&amp;sort=ddm__Dataclu0_String_sortableDESC</w:t>
        </w:r>
      </w:hyperlink>
    </w:p>
    <w:p w14:paraId="3347D480" w14:textId="77777777" w:rsidR="00872106" w:rsidRPr="009323D4" w:rsidRDefault="00872106" w:rsidP="0087210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65AFF389"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 </w:t>
      </w:r>
    </w:p>
    <w:p w14:paraId="2A1EC216" w14:textId="77777777" w:rsidR="00CE41FA" w:rsidRPr="009323D4" w:rsidRDefault="00096EC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Monitoraggio Contratti Pubblici</w:t>
      </w:r>
    </w:p>
    <w:p w14:paraId="79088E5F" w14:textId="77777777" w:rsidR="00CE41FA" w:rsidRPr="009323D4" w:rsidRDefault="00CE41FA">
      <w:pPr>
        <w:pStyle w:val="Paragrafoelenco"/>
        <w:spacing w:before="120" w:after="0" w:line="240" w:lineRule="auto"/>
        <w:rPr>
          <w:rFonts w:ascii="Times New Roman" w:eastAsia="Times New Roman" w:hAnsi="Times New Roman" w:cs="Times New Roman"/>
          <w:sz w:val="24"/>
          <w:szCs w:val="24"/>
        </w:rPr>
      </w:pPr>
    </w:p>
    <w:p w14:paraId="584ABE2F" w14:textId="77777777" w:rsidR="002E0650" w:rsidRPr="009323D4" w:rsidRDefault="00FE5CE6">
      <w:pPr>
        <w:pStyle w:val="Paragrafoelenco"/>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Con il nuovo codice restano vigenti, </w:t>
      </w:r>
      <w:r w:rsidR="00096ECF" w:rsidRPr="009323D4">
        <w:rPr>
          <w:rFonts w:ascii="Times New Roman" w:eastAsia="Times New Roman" w:hAnsi="Times New Roman" w:cs="Times New Roman"/>
          <w:sz w:val="24"/>
          <w:szCs w:val="24"/>
        </w:rPr>
        <w:t>fino a diversa determinazione, gli obblighi informativi verso ANAC</w:t>
      </w:r>
      <w:r w:rsidR="002E0650" w:rsidRPr="009323D4">
        <w:rPr>
          <w:rFonts w:ascii="Times New Roman" w:eastAsia="Times New Roman" w:hAnsi="Times New Roman" w:cs="Times New Roman"/>
          <w:sz w:val="24"/>
          <w:szCs w:val="24"/>
        </w:rPr>
        <w:t xml:space="preserve">. Fra questi si sottolinea in particolare che </w:t>
      </w:r>
      <w:r w:rsidR="00096ECF" w:rsidRPr="009323D4">
        <w:rPr>
          <w:rFonts w:ascii="Times New Roman" w:eastAsia="Times New Roman" w:hAnsi="Times New Roman" w:cs="Times New Roman"/>
          <w:sz w:val="24"/>
          <w:szCs w:val="24"/>
        </w:rPr>
        <w:t>gli obblighi di moni</w:t>
      </w:r>
      <w:r w:rsidR="00EB63EE" w:rsidRPr="009323D4">
        <w:rPr>
          <w:rFonts w:ascii="Times New Roman" w:eastAsia="Times New Roman" w:hAnsi="Times New Roman" w:cs="Times New Roman"/>
          <w:sz w:val="24"/>
          <w:szCs w:val="24"/>
        </w:rPr>
        <w:t xml:space="preserve">toraggio dei Contratti Pubblici, ovvero della </w:t>
      </w:r>
      <w:r w:rsidR="002E0650" w:rsidRPr="009323D4">
        <w:rPr>
          <w:rFonts w:ascii="Times New Roman" w:eastAsia="Times New Roman" w:hAnsi="Times New Roman" w:cs="Times New Roman"/>
          <w:sz w:val="24"/>
          <w:szCs w:val="24"/>
        </w:rPr>
        <w:t xml:space="preserve">trasmissione delle cosiddette “schede” (di esito, adesione e aggiudicazione e delle successive fasi ed eventi sino alla conclusione del contratto) </w:t>
      </w:r>
      <w:r w:rsidR="00EB63EE" w:rsidRPr="009323D4">
        <w:rPr>
          <w:rFonts w:ascii="Times New Roman" w:eastAsia="Times New Roman" w:hAnsi="Times New Roman" w:cs="Times New Roman"/>
          <w:sz w:val="24"/>
          <w:szCs w:val="24"/>
        </w:rPr>
        <w:t xml:space="preserve">continuano ad applicarsi fino al 31 dicembre 2023 ai sensi della norma transitoria dell’art.225 comma 2 del </w:t>
      </w:r>
      <w:proofErr w:type="gramStart"/>
      <w:r w:rsidR="00EB63EE" w:rsidRPr="009323D4">
        <w:rPr>
          <w:rFonts w:ascii="Times New Roman" w:eastAsia="Times New Roman" w:hAnsi="Times New Roman" w:cs="Times New Roman"/>
          <w:sz w:val="24"/>
          <w:szCs w:val="24"/>
        </w:rPr>
        <w:t>D.Lgs</w:t>
      </w:r>
      <w:proofErr w:type="gramEnd"/>
      <w:r w:rsidR="00EB63EE" w:rsidRPr="009323D4">
        <w:rPr>
          <w:rFonts w:ascii="Times New Roman" w:eastAsia="Times New Roman" w:hAnsi="Times New Roman" w:cs="Times New Roman"/>
          <w:sz w:val="24"/>
          <w:szCs w:val="24"/>
        </w:rPr>
        <w:t>.36/2023 in quanto disposte d</w:t>
      </w:r>
      <w:r w:rsidR="002E0650" w:rsidRPr="009323D4">
        <w:rPr>
          <w:rFonts w:ascii="Times New Roman" w:eastAsia="Times New Roman" w:hAnsi="Times New Roman" w:cs="Times New Roman"/>
          <w:sz w:val="24"/>
          <w:szCs w:val="24"/>
        </w:rPr>
        <w:t xml:space="preserve">all’articolo </w:t>
      </w:r>
      <w:r w:rsidR="00EB63EE" w:rsidRPr="009323D4">
        <w:rPr>
          <w:rFonts w:ascii="Times New Roman" w:eastAsia="Times New Roman" w:hAnsi="Times New Roman" w:cs="Times New Roman"/>
          <w:sz w:val="24"/>
          <w:szCs w:val="24"/>
        </w:rPr>
        <w:t>213 comma</w:t>
      </w:r>
      <w:r w:rsidR="002E0650" w:rsidRPr="009323D4">
        <w:rPr>
          <w:rFonts w:ascii="Times New Roman" w:eastAsia="Times New Roman" w:hAnsi="Times New Roman" w:cs="Times New Roman"/>
          <w:sz w:val="24"/>
          <w:szCs w:val="24"/>
        </w:rPr>
        <w:t xml:space="preserve"> 9 </w:t>
      </w:r>
      <w:r w:rsidR="00EB63EE" w:rsidRPr="009323D4">
        <w:rPr>
          <w:rFonts w:ascii="Times New Roman" w:eastAsia="Times New Roman" w:hAnsi="Times New Roman" w:cs="Times New Roman"/>
          <w:sz w:val="24"/>
          <w:szCs w:val="24"/>
        </w:rPr>
        <w:t xml:space="preserve">del </w:t>
      </w:r>
      <w:proofErr w:type="spellStart"/>
      <w:r w:rsidR="00EB63EE" w:rsidRPr="009323D4">
        <w:rPr>
          <w:rFonts w:ascii="Times New Roman" w:eastAsia="Times New Roman" w:hAnsi="Times New Roman" w:cs="Times New Roman"/>
          <w:sz w:val="24"/>
          <w:szCs w:val="24"/>
        </w:rPr>
        <w:t>D.Lgs.</w:t>
      </w:r>
      <w:proofErr w:type="spellEnd"/>
      <w:r w:rsidR="00EB63EE" w:rsidRPr="009323D4">
        <w:rPr>
          <w:rFonts w:ascii="Times New Roman" w:eastAsia="Times New Roman" w:hAnsi="Times New Roman" w:cs="Times New Roman"/>
          <w:sz w:val="24"/>
          <w:szCs w:val="24"/>
        </w:rPr>
        <w:t xml:space="preserve"> 50/2016, interamente vigente sino a tale data anche per quanto attiene alle modalità di trasmissione tramite i sistemi delle sezioni regionali dell’Osservatorio di cui allo stesso articolo.</w:t>
      </w:r>
    </w:p>
    <w:p w14:paraId="466EEBAA" w14:textId="77777777" w:rsidR="00872106" w:rsidRPr="009323D4" w:rsidRDefault="00872106" w:rsidP="00731ED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Quanto sopra anche in considerazione dell’efficacia a decorrere dal primo gennaio 2024 della ANAC 261 del 20 giugno 2023 </w:t>
      </w:r>
      <w:r w:rsidR="00731EDC" w:rsidRPr="009323D4">
        <w:rPr>
          <w:rFonts w:ascii="Times New Roman" w:eastAsia="Times New Roman" w:hAnsi="Times New Roman" w:cs="Times New Roman"/>
          <w:sz w:val="24"/>
          <w:szCs w:val="24"/>
        </w:rPr>
        <w:t>recante “Individuazione delle informazioni che le stazioni appaltanti sono tenute a trasmettere alla Banca dati nazionale dei contratti pubblici</w:t>
      </w:r>
      <w:r w:rsidRPr="009323D4">
        <w:rPr>
          <w:rFonts w:ascii="Times New Roman" w:eastAsia="Times New Roman" w:hAnsi="Times New Roman" w:cs="Times New Roman"/>
          <w:sz w:val="24"/>
          <w:szCs w:val="24"/>
        </w:rPr>
        <w:t>.</w:t>
      </w:r>
    </w:p>
    <w:p w14:paraId="2853A363" w14:textId="77777777" w:rsidR="00804779" w:rsidRPr="009323D4" w:rsidRDefault="00804779" w:rsidP="0087210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2BAFE382" w14:textId="77777777" w:rsidR="00804779" w:rsidRPr="009323D4" w:rsidRDefault="00804779" w:rsidP="00804779">
      <w:pPr>
        <w:pStyle w:val="Paragrafoelenco"/>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Si coglie l’occasione per ricordare che gli obblighi di trasmissione delle cosiddette “schede” (di esito, adesione e aggiudicazione e delle successive fasi ed eventi sino alla conclusione del contratto) restano obbligatorie anche per gli affidamenti collegati a progetti PNRR in quanto non sostituite dagli adempimenti effettuati tramite il sistema </w:t>
      </w:r>
      <w:proofErr w:type="spellStart"/>
      <w:r w:rsidRPr="009323D4">
        <w:rPr>
          <w:rFonts w:ascii="Times New Roman" w:eastAsia="Times New Roman" w:hAnsi="Times New Roman" w:cs="Times New Roman"/>
          <w:sz w:val="24"/>
          <w:szCs w:val="24"/>
        </w:rPr>
        <w:t>ReGis</w:t>
      </w:r>
      <w:proofErr w:type="spellEnd"/>
      <w:r w:rsidRPr="009323D4">
        <w:rPr>
          <w:rFonts w:ascii="Times New Roman" w:eastAsia="Times New Roman" w:hAnsi="Times New Roman" w:cs="Times New Roman"/>
          <w:sz w:val="24"/>
          <w:szCs w:val="24"/>
        </w:rPr>
        <w:t>.</w:t>
      </w:r>
    </w:p>
    <w:p w14:paraId="15B7C433" w14:textId="77777777" w:rsidR="00804779" w:rsidRPr="009323D4" w:rsidRDefault="00804779" w:rsidP="0087210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45EEA76D" w14:textId="77777777" w:rsidR="00872106" w:rsidRPr="009323D4" w:rsidRDefault="00872106" w:rsidP="0087210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Link:</w:t>
      </w:r>
    </w:p>
    <w:p w14:paraId="6F99E4B3" w14:textId="77777777" w:rsidR="00872106" w:rsidRPr="009323D4" w:rsidRDefault="00000000" w:rsidP="00804779">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hyperlink r:id="rId7" w:history="1">
        <w:r w:rsidR="00872106" w:rsidRPr="009323D4">
          <w:rPr>
            <w:rStyle w:val="Collegamentoipertestuale"/>
            <w:rFonts w:ascii="Times New Roman" w:eastAsia="Times New Roman" w:hAnsi="Times New Roman" w:cs="Times New Roman"/>
            <w:sz w:val="24"/>
            <w:szCs w:val="24"/>
          </w:rPr>
          <w:t>https://www.serviziocontrattipubblici.it/SPInApp/</w:t>
        </w:r>
      </w:hyperlink>
    </w:p>
    <w:p w14:paraId="7DE79AA3" w14:textId="77777777" w:rsidR="00872106" w:rsidRPr="009323D4" w:rsidRDefault="00000000" w:rsidP="00804779">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hyperlink r:id="rId8" w:history="1">
        <w:r w:rsidR="00872106" w:rsidRPr="009323D4">
          <w:rPr>
            <w:rStyle w:val="Collegamentoipertestuale"/>
            <w:rFonts w:ascii="Times New Roman" w:eastAsia="Times New Roman" w:hAnsi="Times New Roman" w:cs="Times New Roman"/>
            <w:sz w:val="24"/>
            <w:szCs w:val="24"/>
          </w:rPr>
          <w:t>https://www.anticorruzione.it/consulta-i-documenti?q=&amp;type=119160&amp;sort=ddm__Dataclu0_String_sortableDESC</w:t>
        </w:r>
      </w:hyperlink>
    </w:p>
    <w:p w14:paraId="392469E8" w14:textId="77777777" w:rsidR="00872106" w:rsidRPr="009323D4" w:rsidRDefault="00000000" w:rsidP="00804779">
      <w:pPr>
        <w:pStyle w:val="Paragrafoelenco"/>
        <w:numPr>
          <w:ilvl w:val="0"/>
          <w:numId w:val="5"/>
        </w:numPr>
        <w:spacing w:before="120" w:after="0" w:line="240" w:lineRule="auto"/>
        <w:jc w:val="both"/>
        <w:rPr>
          <w:rFonts w:ascii="Times New Roman" w:eastAsia="Times New Roman" w:hAnsi="Times New Roman" w:cs="Times New Roman"/>
          <w:sz w:val="24"/>
          <w:szCs w:val="24"/>
        </w:rPr>
      </w:pPr>
      <w:hyperlink r:id="rId9" w:history="1">
        <w:r w:rsidR="00731EDC" w:rsidRPr="009323D4">
          <w:rPr>
            <w:rStyle w:val="Collegamentoipertestuale"/>
            <w:rFonts w:ascii="Times New Roman" w:eastAsia="Times New Roman" w:hAnsi="Times New Roman" w:cs="Times New Roman"/>
            <w:sz w:val="24"/>
            <w:szCs w:val="24"/>
          </w:rPr>
          <w:t>https://www.anticorruzione.it/-/delibera-n.-261-del-20-giugno-2023-provvedimento-art-23-bdncp</w:t>
        </w:r>
      </w:hyperlink>
    </w:p>
    <w:p w14:paraId="44FFCB83" w14:textId="77777777" w:rsidR="00804779" w:rsidRPr="009323D4" w:rsidRDefault="00804779" w:rsidP="00804779">
      <w:pPr>
        <w:pStyle w:val="Paragrafoelenco"/>
        <w:numPr>
          <w:ilvl w:val="0"/>
          <w:numId w:val="5"/>
        </w:numPr>
        <w:spacing w:before="120" w:after="0" w:line="240" w:lineRule="auto"/>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https://www.anticorruzione.it/-/obblighi-informativi-verso-l-autorit%C3%A0</w:t>
      </w:r>
    </w:p>
    <w:p w14:paraId="242F3F73" w14:textId="77777777" w:rsidR="00804779" w:rsidRPr="009323D4" w:rsidRDefault="00804779" w:rsidP="00804779">
      <w:pPr>
        <w:pStyle w:val="Paragrafoelenco"/>
        <w:spacing w:before="120" w:after="0" w:line="240" w:lineRule="auto"/>
        <w:ind w:left="1440"/>
        <w:jc w:val="both"/>
        <w:rPr>
          <w:rFonts w:ascii="Times New Roman" w:eastAsia="Times New Roman" w:hAnsi="Times New Roman" w:cs="Times New Roman"/>
          <w:sz w:val="24"/>
          <w:szCs w:val="24"/>
        </w:rPr>
      </w:pPr>
    </w:p>
    <w:p w14:paraId="43A1F6F8" w14:textId="77777777" w:rsidR="00731EDC" w:rsidRPr="009323D4" w:rsidRDefault="00731EDC">
      <w:pPr>
        <w:pStyle w:val="Paragrafoelenco"/>
        <w:spacing w:before="120" w:after="0" w:line="240" w:lineRule="auto"/>
        <w:jc w:val="both"/>
        <w:rPr>
          <w:rFonts w:ascii="Times New Roman" w:eastAsia="Times New Roman" w:hAnsi="Times New Roman" w:cs="Times New Roman"/>
          <w:sz w:val="24"/>
          <w:szCs w:val="24"/>
        </w:rPr>
      </w:pPr>
    </w:p>
    <w:p w14:paraId="378C59EB" w14:textId="77777777" w:rsidR="00CE41FA" w:rsidRPr="009323D4" w:rsidRDefault="00096EC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sz w:val="24"/>
          <w:szCs w:val="24"/>
        </w:rPr>
      </w:pPr>
      <w:r w:rsidRPr="009323D4">
        <w:rPr>
          <w:rFonts w:ascii="Times New Roman" w:eastAsia="Times New Roman" w:hAnsi="Times New Roman" w:cs="Times New Roman"/>
          <w:b/>
          <w:sz w:val="24"/>
          <w:szCs w:val="24"/>
        </w:rPr>
        <w:t>Elenco trasparenza (ex L.190/2012)</w:t>
      </w:r>
    </w:p>
    <w:p w14:paraId="1E624D56"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3C3DA23A" w14:textId="77777777" w:rsidR="00CE41FA" w:rsidRPr="009323D4" w:rsidRDefault="00096ECF">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Ai sensi dell’art.226 (Abrogazioni e disposizioni finali) del </w:t>
      </w:r>
      <w:proofErr w:type="gramStart"/>
      <w:r w:rsidRPr="009323D4">
        <w:rPr>
          <w:rFonts w:ascii="Times New Roman" w:eastAsia="Times New Roman" w:hAnsi="Times New Roman" w:cs="Times New Roman"/>
          <w:sz w:val="24"/>
          <w:szCs w:val="24"/>
        </w:rPr>
        <w:t>D.Lgs</w:t>
      </w:r>
      <w:proofErr w:type="gramEnd"/>
      <w:r w:rsidRPr="009323D4">
        <w:rPr>
          <w:rFonts w:ascii="Times New Roman" w:eastAsia="Times New Roman" w:hAnsi="Times New Roman" w:cs="Times New Roman"/>
          <w:sz w:val="24"/>
          <w:szCs w:val="24"/>
        </w:rPr>
        <w:t xml:space="preserve">.36/2023, e nello specifico del comma 3 lettera d), è abrogato l’articolo 1, comma 32, della legge 6 novembre 2012. Non è pertanto più dovuta la redazione, la pubblicazione e la comunicazione ad ANAC del cosiddetto “elenco 190” comprendente le informazioni di cui a tale norma, che era effettuata entro il 31 gennaio di ogni anno. </w:t>
      </w:r>
    </w:p>
    <w:p w14:paraId="23855793" w14:textId="77777777" w:rsidR="00804779" w:rsidRPr="009323D4" w:rsidRDefault="00804779" w:rsidP="0080477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 xml:space="preserve">Quanto sopra anche in considerazione dell’efficacia a decorrere dal primo gennaio 2024 della ANAC 264 del 20 giugno 2023 recante “di cui all’articolo 28, comma 4, del decreto </w:t>
      </w:r>
      <w:r w:rsidRPr="009323D4">
        <w:rPr>
          <w:rFonts w:ascii="Times New Roman" w:eastAsia="Times New Roman" w:hAnsi="Times New Roman" w:cs="Times New Roman"/>
          <w:sz w:val="24"/>
          <w:szCs w:val="24"/>
        </w:rPr>
        <w:lastRenderedPageBreak/>
        <w:t>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p>
    <w:p w14:paraId="4D7D6756" w14:textId="77777777" w:rsidR="00804779" w:rsidRPr="009323D4" w:rsidRDefault="00804779" w:rsidP="0080477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5EF22C47" w14:textId="77777777" w:rsidR="00804779" w:rsidRPr="009323D4" w:rsidRDefault="00804779" w:rsidP="0080477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Link</w:t>
      </w:r>
    </w:p>
    <w:p w14:paraId="0B997810" w14:textId="77777777" w:rsidR="00804779" w:rsidRPr="009323D4" w:rsidRDefault="00804779" w:rsidP="00804779">
      <w:pPr>
        <w:pStyle w:val="Paragrafoelenco"/>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https://www.anticorruzione.it/-/archivio-faq-in-materia-di-trasparenza</w:t>
      </w:r>
    </w:p>
    <w:p w14:paraId="199FB03E" w14:textId="77777777" w:rsidR="00804779" w:rsidRPr="009323D4" w:rsidRDefault="00804779" w:rsidP="00804779">
      <w:pPr>
        <w:pStyle w:val="Paragrafoelenco"/>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r w:rsidRPr="009323D4">
        <w:rPr>
          <w:rFonts w:ascii="Times New Roman" w:eastAsia="Times New Roman" w:hAnsi="Times New Roman" w:cs="Times New Roman"/>
          <w:sz w:val="24"/>
          <w:szCs w:val="24"/>
        </w:rPr>
        <w:t>https://www.anticorruzione.it/-/delibera-n.-264-del-20-giugno-2023-provvedimento-art.-28-trasparenza</w:t>
      </w:r>
    </w:p>
    <w:p w14:paraId="1E38F75E" w14:textId="77777777" w:rsidR="00804779" w:rsidRPr="009323D4" w:rsidRDefault="0080477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sz w:val="24"/>
          <w:szCs w:val="24"/>
        </w:rPr>
      </w:pPr>
    </w:p>
    <w:p w14:paraId="0A769782" w14:textId="77777777" w:rsidR="00CE41FA" w:rsidRPr="009323D4" w:rsidRDefault="00CE41F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jc w:val="both"/>
        <w:rPr>
          <w:rFonts w:ascii="Times New Roman" w:eastAsia="Times New Roman" w:hAnsi="Times New Roman" w:cs="Times New Roman"/>
          <w:sz w:val="24"/>
          <w:szCs w:val="24"/>
        </w:rPr>
      </w:pPr>
    </w:p>
    <w:p w14:paraId="029F1F36" w14:textId="77777777" w:rsidR="00FE5CE6" w:rsidRPr="009323D4" w:rsidRDefault="00FE5CE6" w:rsidP="00FE5CE6">
      <w:pPr>
        <w:pStyle w:val="Testonormale"/>
        <w:tabs>
          <w:tab w:val="left" w:pos="5103"/>
        </w:tabs>
        <w:spacing w:before="120" w:beforeAutospacing="0" w:after="0" w:afterAutospacing="0"/>
        <w:jc w:val="both"/>
      </w:pPr>
      <w:r w:rsidRPr="009323D4">
        <w:tab/>
      </w:r>
    </w:p>
    <w:p w14:paraId="2D7D0AF3" w14:textId="77777777" w:rsidR="00CE41FA" w:rsidRDefault="009323D4" w:rsidP="009323D4">
      <w:pPr>
        <w:pStyle w:val="Testonormale"/>
        <w:tabs>
          <w:tab w:val="left" w:pos="4253"/>
        </w:tabs>
        <w:spacing w:before="120" w:beforeAutospacing="0" w:after="0" w:afterAutospacing="0"/>
        <w:jc w:val="both"/>
      </w:pPr>
      <w:r w:rsidRPr="009323D4">
        <w:tab/>
        <w:t>Rete degli Osservatori Regionali</w:t>
      </w:r>
      <w:r w:rsidR="00096ECF" w:rsidRPr="009323D4">
        <w:t xml:space="preserve"> dei Contratti Pubblici</w:t>
      </w:r>
    </w:p>
    <w:p w14:paraId="3119C5D3" w14:textId="77777777" w:rsidR="00CE41FA" w:rsidRDefault="00096ECF">
      <w:pPr>
        <w:pStyle w:val="Testonormale"/>
        <w:spacing w:before="120" w:beforeAutospacing="0" w:after="0" w:afterAutospacing="0"/>
        <w:jc w:val="both"/>
      </w:pPr>
      <w:r>
        <w:t xml:space="preserve"> </w:t>
      </w:r>
    </w:p>
    <w:sectPr w:rsidR="00CE41F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EC2"/>
    <w:multiLevelType w:val="hybridMultilevel"/>
    <w:tmpl w:val="B65EE0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8A52C71"/>
    <w:multiLevelType w:val="multilevel"/>
    <w:tmpl w:val="496C1A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747275"/>
    <w:multiLevelType w:val="hybridMultilevel"/>
    <w:tmpl w:val="82CA1C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2767BA5"/>
    <w:multiLevelType w:val="hybridMultilevel"/>
    <w:tmpl w:val="83F239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C9508EA"/>
    <w:multiLevelType w:val="hybridMultilevel"/>
    <w:tmpl w:val="357E87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F6468F1"/>
    <w:multiLevelType w:val="multilevel"/>
    <w:tmpl w:val="7C6EFF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87425286">
    <w:abstractNumId w:val="1"/>
  </w:num>
  <w:num w:numId="2" w16cid:durableId="992949592">
    <w:abstractNumId w:val="5"/>
  </w:num>
  <w:num w:numId="3" w16cid:durableId="1699113803">
    <w:abstractNumId w:val="3"/>
  </w:num>
  <w:num w:numId="4" w16cid:durableId="1030838896">
    <w:abstractNumId w:val="2"/>
  </w:num>
  <w:num w:numId="5" w16cid:durableId="376468179">
    <w:abstractNumId w:val="4"/>
  </w:num>
  <w:num w:numId="6" w16cid:durableId="39702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1FA"/>
    <w:rsid w:val="00096ECF"/>
    <w:rsid w:val="00154902"/>
    <w:rsid w:val="00217A88"/>
    <w:rsid w:val="002E0650"/>
    <w:rsid w:val="002F053B"/>
    <w:rsid w:val="00570464"/>
    <w:rsid w:val="00601EC2"/>
    <w:rsid w:val="00680C7B"/>
    <w:rsid w:val="006A7F7B"/>
    <w:rsid w:val="00731EDC"/>
    <w:rsid w:val="007F1F11"/>
    <w:rsid w:val="00804779"/>
    <w:rsid w:val="00872106"/>
    <w:rsid w:val="009323D4"/>
    <w:rsid w:val="00A02538"/>
    <w:rsid w:val="00A36071"/>
    <w:rsid w:val="00A40CCC"/>
    <w:rsid w:val="00B438EB"/>
    <w:rsid w:val="00CE41FA"/>
    <w:rsid w:val="00DA44EC"/>
    <w:rsid w:val="00EB63EE"/>
    <w:rsid w:val="00F33247"/>
    <w:rsid w:val="00FE5CE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91DA"/>
  <w15:docId w15:val="{7B22A95F-3566-41F0-A3BF-A240FF10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770A2"/>
    <w:rPr>
      <w:color w:val="0000FF" w:themeColor="hyperlink"/>
      <w:u w:val="single"/>
    </w:rPr>
  </w:style>
  <w:style w:type="character" w:customStyle="1" w:styleId="TestonormaleCarattere">
    <w:name w:val="Testo normale Carattere"/>
    <w:basedOn w:val="Carpredefinitoparagrafo"/>
    <w:link w:val="Testonormale"/>
    <w:uiPriority w:val="99"/>
    <w:qFormat/>
    <w:rsid w:val="00411049"/>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qFormat/>
    <w:rsid w:val="00411049"/>
    <w:rPr>
      <w:sz w:val="16"/>
      <w:szCs w:val="16"/>
    </w:rPr>
  </w:style>
  <w:style w:type="character" w:customStyle="1" w:styleId="TestocommentoCarattere">
    <w:name w:val="Testo commento Carattere"/>
    <w:basedOn w:val="Carpredefinitoparagrafo"/>
    <w:link w:val="Testocommento"/>
    <w:uiPriority w:val="99"/>
    <w:semiHidden/>
    <w:qFormat/>
    <w:rsid w:val="00411049"/>
    <w:rPr>
      <w:sz w:val="20"/>
      <w:szCs w:val="20"/>
    </w:rPr>
  </w:style>
  <w:style w:type="character" w:customStyle="1" w:styleId="TestofumettoCarattere">
    <w:name w:val="Testo fumetto Carattere"/>
    <w:basedOn w:val="Carpredefinitoparagrafo"/>
    <w:link w:val="Testofumetto"/>
    <w:uiPriority w:val="99"/>
    <w:semiHidden/>
    <w:qFormat/>
    <w:rsid w:val="00411049"/>
    <w:rPr>
      <w:rFonts w:ascii="Tahoma" w:hAnsi="Tahoma" w:cs="Tahoma"/>
      <w:sz w:val="16"/>
      <w:szCs w:val="16"/>
    </w:rPr>
  </w:style>
  <w:style w:type="character" w:customStyle="1" w:styleId="SoggettocommentoCarattere">
    <w:name w:val="Soggetto commento Carattere"/>
    <w:basedOn w:val="TestocommentoCarattere"/>
    <w:link w:val="Soggettocommento"/>
    <w:uiPriority w:val="99"/>
    <w:semiHidden/>
    <w:qFormat/>
    <w:rsid w:val="00C54DF0"/>
    <w:rPr>
      <w:b/>
      <w:bCs/>
      <w:sz w:val="20"/>
      <w:szCs w:val="2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B248F1"/>
    <w:pPr>
      <w:ind w:left="720"/>
      <w:contextualSpacing/>
    </w:pPr>
  </w:style>
  <w:style w:type="paragraph" w:styleId="Testonormale">
    <w:name w:val="Plain Text"/>
    <w:basedOn w:val="Normale"/>
    <w:link w:val="TestonormaleCarattere"/>
    <w:uiPriority w:val="99"/>
    <w:unhideWhenUsed/>
    <w:qFormat/>
    <w:rsid w:val="00411049"/>
    <w:pPr>
      <w:spacing w:beforeAutospacing="1" w:afterAutospacing="1" w:line="240" w:lineRule="auto"/>
    </w:pPr>
    <w:rPr>
      <w:rFonts w:ascii="Times New Roman" w:eastAsia="Times New Roman" w:hAnsi="Times New Roman" w:cs="Times New Roman"/>
      <w:sz w:val="24"/>
      <w:szCs w:val="24"/>
    </w:rPr>
  </w:style>
  <w:style w:type="paragraph" w:styleId="Testocommento">
    <w:name w:val="annotation text"/>
    <w:basedOn w:val="Normale"/>
    <w:link w:val="TestocommentoCarattere"/>
    <w:uiPriority w:val="99"/>
    <w:semiHidden/>
    <w:unhideWhenUsed/>
    <w:qFormat/>
    <w:rsid w:val="00411049"/>
    <w:pPr>
      <w:spacing w:line="240" w:lineRule="auto"/>
    </w:pPr>
    <w:rPr>
      <w:sz w:val="20"/>
      <w:szCs w:val="20"/>
    </w:rPr>
  </w:style>
  <w:style w:type="paragraph" w:styleId="Testofumetto">
    <w:name w:val="Balloon Text"/>
    <w:basedOn w:val="Normale"/>
    <w:link w:val="TestofumettoCarattere"/>
    <w:uiPriority w:val="99"/>
    <w:semiHidden/>
    <w:unhideWhenUsed/>
    <w:qFormat/>
    <w:rsid w:val="00411049"/>
    <w:pPr>
      <w:spacing w:after="0" w:line="240" w:lineRule="auto"/>
    </w:pPr>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qFormat/>
    <w:rsid w:val="00C54DF0"/>
    <w:rPr>
      <w:b/>
      <w:bCs/>
    </w:rPr>
  </w:style>
  <w:style w:type="character" w:styleId="Collegamentoipertestuale">
    <w:name w:val="Hyperlink"/>
    <w:basedOn w:val="Carpredefinitoparagrafo"/>
    <w:uiPriority w:val="99"/>
    <w:unhideWhenUsed/>
    <w:rsid w:val="00872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nticorruzione.it/consulta-i-documenti?q=&amp;type=119160&amp;sort=ddm__Dataclu0_String_sortableDESC" TargetMode="External"/><Relationship Id="rId3" Type="http://schemas.openxmlformats.org/officeDocument/2006/relationships/settings" Target="settings.xml"/><Relationship Id="rId7" Type="http://schemas.openxmlformats.org/officeDocument/2006/relationships/hyperlink" Target="https://www.serviziocontrattipubblici.it/SPIn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ticorruzione.it/consulta-i-documenti?q=&amp;type=119160&amp;sort=ddm__Dataclu0_String_sortableDESC" TargetMode="External"/><Relationship Id="rId11" Type="http://schemas.openxmlformats.org/officeDocument/2006/relationships/theme" Target="theme/theme1.xml"/><Relationship Id="rId5" Type="http://schemas.openxmlformats.org/officeDocument/2006/relationships/hyperlink" Target="https://www.serviziocontrattipubblici.it/SPIn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ticorruzione.it/-/delibera-n.-261-del-20-giugno-2023-provvedimento-art-23-bdnc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Giuseppe Rizzuto</cp:lastModifiedBy>
  <cp:revision>3</cp:revision>
  <dcterms:created xsi:type="dcterms:W3CDTF">2023-07-01T12:44:00Z</dcterms:created>
  <dcterms:modified xsi:type="dcterms:W3CDTF">2023-07-03T11:03:00Z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